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D7433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VE9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4339">
        <w:rPr>
          <w:rFonts w:ascii="Arial" w:hAnsi="Arial" w:cs="Arial"/>
          <w:sz w:val="20"/>
          <w:szCs w:val="20"/>
        </w:rPr>
        <w:t>12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74339" w:rsidRPr="00D74339">
        <w:rPr>
          <w:rFonts w:ascii="Arial" w:hAnsi="Arial" w:cs="Arial"/>
          <w:sz w:val="20"/>
          <w:szCs w:val="20"/>
        </w:rPr>
        <w:t xml:space="preserve">VNECO 9 Investment &amp; Construction </w:t>
      </w:r>
      <w:r w:rsidR="00D74339">
        <w:rPr>
          <w:rFonts w:ascii="Arial" w:hAnsi="Arial" w:cs="Arial"/>
          <w:sz w:val="20"/>
          <w:szCs w:val="20"/>
        </w:rPr>
        <w:t>Joint Stock Company</w:t>
      </w:r>
      <w:r w:rsidR="002E7FD0">
        <w:rPr>
          <w:rFonts w:ascii="Arial" w:hAnsi="Arial" w:cs="Arial"/>
          <w:sz w:val="20"/>
          <w:szCs w:val="20"/>
        </w:rPr>
        <w:t xml:space="preserve">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Adjust the plan on resolving</w:t>
      </w:r>
      <w:r w:rsidRPr="00D74339">
        <w:rPr>
          <w:rFonts w:ascii="Arial" w:hAnsi="Arial" w:cs="Arial"/>
          <w:sz w:val="20"/>
          <w:szCs w:val="20"/>
        </w:rPr>
        <w:t xml:space="preserve"> benefits for shareholders when delisting in the form of repurchasing treasury stocks from existing shareholders, specifically: </w:t>
      </w:r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</w:t>
      </w:r>
      <w:r w:rsidRPr="00D74339">
        <w:rPr>
          <w:rFonts w:ascii="Arial" w:hAnsi="Arial" w:cs="Arial"/>
          <w:sz w:val="20"/>
          <w:szCs w:val="20"/>
        </w:rPr>
        <w:t>: repurchasing treasury st</w:t>
      </w:r>
      <w:r>
        <w:rPr>
          <w:rFonts w:ascii="Arial" w:hAnsi="Arial" w:cs="Arial"/>
          <w:sz w:val="20"/>
          <w:szCs w:val="20"/>
        </w:rPr>
        <w:t>ocks from existing shareholders</w:t>
      </w:r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Purpose of buying shares for</w:t>
      </w:r>
      <w:r w:rsidRPr="00D74339">
        <w:rPr>
          <w:rFonts w:ascii="Arial" w:hAnsi="Arial" w:cs="Arial"/>
          <w:sz w:val="20"/>
          <w:szCs w:val="20"/>
        </w:rPr>
        <w:t xml:space="preserve"> trea</w:t>
      </w:r>
      <w:r>
        <w:rPr>
          <w:rFonts w:ascii="Arial" w:hAnsi="Arial" w:cs="Arial"/>
          <w:sz w:val="20"/>
          <w:szCs w:val="20"/>
        </w:rPr>
        <w:t>sury shares: ensuring the benefits</w:t>
      </w:r>
      <w:r w:rsidRPr="00D74339">
        <w:rPr>
          <w:rFonts w:ascii="Arial" w:hAnsi="Arial" w:cs="Arial"/>
          <w:sz w:val="20"/>
          <w:szCs w:val="20"/>
        </w:rPr>
        <w:t xml:space="preserve"> of shareholders when the Company delists </w:t>
      </w:r>
      <w:r>
        <w:rPr>
          <w:rFonts w:ascii="Arial" w:hAnsi="Arial" w:cs="Arial"/>
          <w:sz w:val="20"/>
          <w:szCs w:val="20"/>
        </w:rPr>
        <w:t>from</w:t>
      </w:r>
      <w:r w:rsidRPr="00D74339">
        <w:rPr>
          <w:rFonts w:ascii="Arial" w:hAnsi="Arial" w:cs="Arial"/>
          <w:sz w:val="20"/>
          <w:szCs w:val="20"/>
        </w:rPr>
        <w:t xml:space="preserve"> Hanoi Stock Exchange (HNX) and switch</w:t>
      </w:r>
      <w:r>
        <w:rPr>
          <w:rFonts w:ascii="Arial" w:hAnsi="Arial" w:cs="Arial"/>
          <w:sz w:val="20"/>
          <w:szCs w:val="20"/>
        </w:rPr>
        <w:t>es</w:t>
      </w:r>
      <w:r w:rsidRPr="00D74339">
        <w:rPr>
          <w:rFonts w:ascii="Arial" w:hAnsi="Arial" w:cs="Arial"/>
          <w:sz w:val="20"/>
          <w:szCs w:val="20"/>
        </w:rPr>
        <w:t xml:space="preserve"> to register</w:t>
      </w:r>
      <w:r>
        <w:rPr>
          <w:rFonts w:ascii="Arial" w:hAnsi="Arial" w:cs="Arial"/>
          <w:sz w:val="20"/>
          <w:szCs w:val="20"/>
        </w:rPr>
        <w:t xml:space="preserve">ing for trading on </w:t>
      </w:r>
      <w:proofErr w:type="spellStart"/>
      <w:r>
        <w:rPr>
          <w:rFonts w:ascii="Arial" w:hAnsi="Arial" w:cs="Arial"/>
          <w:sz w:val="20"/>
          <w:szCs w:val="20"/>
        </w:rPr>
        <w:t>UpCom</w:t>
      </w:r>
      <w:proofErr w:type="spellEnd"/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74339">
        <w:rPr>
          <w:rFonts w:ascii="Arial" w:hAnsi="Arial" w:cs="Arial"/>
          <w:sz w:val="20"/>
          <w:szCs w:val="20"/>
        </w:rPr>
        <w:t xml:space="preserve"> Total numbe</w:t>
      </w:r>
      <w:r>
        <w:rPr>
          <w:rFonts w:ascii="Arial" w:hAnsi="Arial" w:cs="Arial"/>
          <w:sz w:val="20"/>
          <w:szCs w:val="20"/>
        </w:rPr>
        <w:t>r of shares registered to buy for treasury shares: 500,000 shares, equivalent to 3.</w:t>
      </w:r>
      <w:r w:rsidRPr="00D74339">
        <w:rPr>
          <w:rFonts w:ascii="Arial" w:hAnsi="Arial" w:cs="Arial"/>
          <w:sz w:val="20"/>
          <w:szCs w:val="20"/>
        </w:rPr>
        <w:t>99% of the tot</w:t>
      </w:r>
      <w:r>
        <w:rPr>
          <w:rFonts w:ascii="Arial" w:hAnsi="Arial" w:cs="Arial"/>
          <w:sz w:val="20"/>
          <w:szCs w:val="20"/>
        </w:rPr>
        <w:t>al issued shares of the Company</w:t>
      </w:r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maximum number of treasury shareholdings</w:t>
      </w:r>
      <w:r w:rsidRPr="00D74339">
        <w:rPr>
          <w:rFonts w:ascii="Arial" w:hAnsi="Arial" w:cs="Arial"/>
          <w:sz w:val="20"/>
          <w:szCs w:val="20"/>
        </w:rPr>
        <w:t xml:space="preserve"> after the transaction expected</w:t>
      </w:r>
      <w:r>
        <w:rPr>
          <w:rFonts w:ascii="Arial" w:hAnsi="Arial" w:cs="Arial"/>
          <w:sz w:val="20"/>
          <w:szCs w:val="20"/>
        </w:rPr>
        <w:t>: 500,</w:t>
      </w:r>
      <w:r w:rsidRPr="00D74339">
        <w:rPr>
          <w:rFonts w:ascii="Arial" w:hAnsi="Arial" w:cs="Arial"/>
          <w:sz w:val="20"/>
          <w:szCs w:val="20"/>
        </w:rPr>
        <w:t xml:space="preserve">000 shares </w:t>
      </w:r>
    </w:p>
    <w:p w:rsidR="00D74339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Purpose of buying shares for</w:t>
      </w:r>
      <w:r w:rsidRPr="00D74339">
        <w:rPr>
          <w:rFonts w:ascii="Arial" w:hAnsi="Arial" w:cs="Arial"/>
          <w:sz w:val="20"/>
          <w:szCs w:val="20"/>
        </w:rPr>
        <w:t xml:space="preserve"> trea</w:t>
      </w:r>
      <w:r>
        <w:rPr>
          <w:rFonts w:ascii="Arial" w:hAnsi="Arial" w:cs="Arial"/>
          <w:sz w:val="20"/>
          <w:szCs w:val="20"/>
        </w:rPr>
        <w:t>sury shares: ensuring the benefits</w:t>
      </w:r>
      <w:r w:rsidRPr="00D74339">
        <w:rPr>
          <w:rFonts w:ascii="Arial" w:hAnsi="Arial" w:cs="Arial"/>
          <w:sz w:val="20"/>
          <w:szCs w:val="20"/>
        </w:rPr>
        <w:t xml:space="preserve"> of share</w:t>
      </w:r>
      <w:r>
        <w:rPr>
          <w:rFonts w:ascii="Arial" w:hAnsi="Arial" w:cs="Arial"/>
          <w:sz w:val="20"/>
          <w:szCs w:val="20"/>
        </w:rPr>
        <w:t>holders when the Company delist</w:t>
      </w:r>
      <w:r w:rsidRPr="00D74339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from </w:t>
      </w:r>
      <w:r w:rsidRPr="00D74339">
        <w:rPr>
          <w:rFonts w:ascii="Arial" w:hAnsi="Arial" w:cs="Arial"/>
          <w:sz w:val="20"/>
          <w:szCs w:val="20"/>
        </w:rPr>
        <w:t xml:space="preserve">Hanoi Stock Exchange (HNX) and switch to registration for </w:t>
      </w:r>
      <w:r>
        <w:rPr>
          <w:rFonts w:ascii="Arial" w:hAnsi="Arial" w:cs="Arial"/>
          <w:sz w:val="20"/>
          <w:szCs w:val="20"/>
        </w:rPr>
        <w:t xml:space="preserve">trading on </w:t>
      </w:r>
      <w:proofErr w:type="spellStart"/>
      <w:r>
        <w:rPr>
          <w:rFonts w:ascii="Arial" w:hAnsi="Arial" w:cs="Arial"/>
          <w:sz w:val="20"/>
          <w:szCs w:val="20"/>
        </w:rPr>
        <w:t>U</w:t>
      </w:r>
      <w:r w:rsidR="00B857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Co</w:t>
      </w:r>
      <w:r w:rsidR="00B85722">
        <w:rPr>
          <w:rFonts w:ascii="Arial" w:hAnsi="Arial" w:cs="Arial"/>
          <w:sz w:val="20"/>
          <w:szCs w:val="20"/>
        </w:rPr>
        <w:t>M</w:t>
      </w:r>
      <w:proofErr w:type="spellEnd"/>
      <w:r w:rsidR="00B85722">
        <w:rPr>
          <w:rFonts w:ascii="Arial" w:hAnsi="Arial" w:cs="Arial"/>
          <w:sz w:val="20"/>
          <w:szCs w:val="20"/>
        </w:rPr>
        <w:t>.</w:t>
      </w:r>
    </w:p>
    <w:p w:rsidR="00304722" w:rsidRDefault="00D743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Capital source: surplus</w:t>
      </w:r>
      <w:r w:rsidRPr="00D74339">
        <w:rPr>
          <w:rFonts w:ascii="Arial" w:hAnsi="Arial" w:cs="Arial"/>
          <w:sz w:val="20"/>
          <w:szCs w:val="20"/>
        </w:rPr>
        <w:t xml:space="preserve"> equity, other equity of the owner or other funds of equity used to repurchas</w:t>
      </w:r>
      <w:r w:rsidR="00304722">
        <w:rPr>
          <w:rFonts w:ascii="Arial" w:hAnsi="Arial" w:cs="Arial"/>
          <w:sz w:val="20"/>
          <w:szCs w:val="20"/>
        </w:rPr>
        <w:t>e shares in accordance with law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74339" w:rsidRPr="00D74339">
        <w:rPr>
          <w:rFonts w:ascii="Arial" w:hAnsi="Arial" w:cs="Arial"/>
          <w:sz w:val="20"/>
          <w:szCs w:val="20"/>
        </w:rPr>
        <w:t xml:space="preserve">Trading method: Order matching or put-through 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Pricing p</w:t>
      </w:r>
      <w:r w:rsidR="00D74339" w:rsidRPr="00D74339">
        <w:rPr>
          <w:rFonts w:ascii="Arial" w:hAnsi="Arial" w:cs="Arial"/>
          <w:sz w:val="20"/>
          <w:szCs w:val="20"/>
        </w:rPr>
        <w:t>rinciple: According to the market price at the time of transaction and in comp</w:t>
      </w:r>
      <w:r>
        <w:rPr>
          <w:rFonts w:ascii="Arial" w:hAnsi="Arial" w:cs="Arial"/>
          <w:sz w:val="20"/>
          <w:szCs w:val="20"/>
        </w:rPr>
        <w:t>liance with current regulations</w:t>
      </w:r>
    </w:p>
    <w:p w:rsidR="00D74339" w:rsidRDefault="0030472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D74339" w:rsidRPr="00D74339">
        <w:rPr>
          <w:rFonts w:ascii="Arial" w:hAnsi="Arial" w:cs="Arial"/>
          <w:sz w:val="20"/>
          <w:szCs w:val="20"/>
        </w:rPr>
        <w:t>urchase</w:t>
      </w:r>
      <w:r>
        <w:rPr>
          <w:rFonts w:ascii="Arial" w:hAnsi="Arial" w:cs="Arial"/>
          <w:sz w:val="20"/>
          <w:szCs w:val="20"/>
        </w:rPr>
        <w:t xml:space="preserve"> price</w:t>
      </w:r>
      <w:r w:rsidR="00D74339" w:rsidRPr="00D7433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price</w:t>
      </w:r>
      <w:r w:rsidR="00D74339" w:rsidRPr="00D74339">
        <w:rPr>
          <w:rFonts w:ascii="Arial" w:hAnsi="Arial" w:cs="Arial"/>
          <w:sz w:val="20"/>
          <w:szCs w:val="20"/>
        </w:rPr>
        <w:t xml:space="preserve"> range): at the market price at</w:t>
      </w:r>
      <w:r>
        <w:rPr>
          <w:rFonts w:ascii="Arial" w:hAnsi="Arial" w:cs="Arial"/>
          <w:sz w:val="20"/>
          <w:szCs w:val="20"/>
        </w:rPr>
        <w:t xml:space="preserve"> the time of transaction in</w:t>
      </w:r>
      <w:r w:rsidR="00D74339" w:rsidRPr="00D74339">
        <w:rPr>
          <w:rFonts w:ascii="Arial" w:hAnsi="Arial" w:cs="Arial"/>
          <w:sz w:val="20"/>
          <w:szCs w:val="20"/>
        </w:rPr>
        <w:t xml:space="preserve"> compli</w:t>
      </w:r>
      <w:r>
        <w:rPr>
          <w:rFonts w:ascii="Arial" w:hAnsi="Arial" w:cs="Arial"/>
          <w:sz w:val="20"/>
          <w:szCs w:val="20"/>
        </w:rPr>
        <w:t>ance with the law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4722">
        <w:rPr>
          <w:rFonts w:ascii="Arial" w:hAnsi="Arial" w:cs="Arial"/>
          <w:sz w:val="20"/>
          <w:szCs w:val="20"/>
        </w:rPr>
        <w:t>Implementation time: Expected in the first and second quarters of 2020 and after the</w:t>
      </w:r>
      <w:r>
        <w:rPr>
          <w:rFonts w:ascii="Arial" w:hAnsi="Arial" w:cs="Arial"/>
          <w:sz w:val="20"/>
          <w:szCs w:val="20"/>
        </w:rPr>
        <w:t xml:space="preserve"> State Securities Commission approve</w:t>
      </w:r>
      <w:r w:rsidRPr="00304722">
        <w:rPr>
          <w:rFonts w:ascii="Arial" w:hAnsi="Arial" w:cs="Arial"/>
          <w:sz w:val="20"/>
          <w:szCs w:val="20"/>
        </w:rPr>
        <w:t xml:space="preserve"> the dossier of stock purchase for treasury shares of</w:t>
      </w:r>
      <w:r>
        <w:rPr>
          <w:rFonts w:ascii="Arial" w:hAnsi="Arial" w:cs="Arial"/>
          <w:sz w:val="20"/>
          <w:szCs w:val="20"/>
        </w:rPr>
        <w:t xml:space="preserve"> the Company and the Company makes information disclosure in accordance with the 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gulations</w:t>
      </w:r>
      <w:r w:rsidRPr="00304722">
        <w:rPr>
          <w:rFonts w:ascii="Arial" w:hAnsi="Arial" w:cs="Arial"/>
          <w:sz w:val="20"/>
          <w:szCs w:val="20"/>
        </w:rPr>
        <w:t>, but not later than thirty (30) days fr</w:t>
      </w:r>
      <w:r>
        <w:rPr>
          <w:rFonts w:ascii="Arial" w:hAnsi="Arial" w:cs="Arial"/>
          <w:sz w:val="20"/>
          <w:szCs w:val="20"/>
        </w:rPr>
        <w:t>om the start of the transaction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  <w:r w:rsidRPr="00304722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 xml:space="preserve">: </w:t>
      </w:r>
      <w:r w:rsidRPr="00304722">
        <w:rPr>
          <w:rFonts w:ascii="Arial" w:hAnsi="Arial" w:cs="Arial"/>
          <w:sz w:val="20"/>
          <w:szCs w:val="20"/>
        </w:rPr>
        <w:t>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304722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304722">
        <w:rPr>
          <w:rFonts w:ascii="Arial" w:hAnsi="Arial" w:cs="Arial"/>
          <w:sz w:val="20"/>
          <w:szCs w:val="20"/>
        </w:rPr>
        <w:t xml:space="preserve"> and the functional departments are responsible for the implementation</w:t>
      </w:r>
      <w:r>
        <w:rPr>
          <w:rFonts w:ascii="Arial" w:hAnsi="Arial" w:cs="Arial"/>
          <w:sz w:val="20"/>
          <w:szCs w:val="20"/>
        </w:rPr>
        <w:t xml:space="preserve"> </w:t>
      </w:r>
      <w:r w:rsidRPr="00304722">
        <w:rPr>
          <w:rFonts w:ascii="Arial" w:hAnsi="Arial" w:cs="Arial"/>
          <w:sz w:val="20"/>
          <w:szCs w:val="20"/>
        </w:rPr>
        <w:t>of thi</w:t>
      </w:r>
      <w:r>
        <w:rPr>
          <w:rFonts w:ascii="Arial" w:hAnsi="Arial" w:cs="Arial"/>
          <w:sz w:val="20"/>
          <w:szCs w:val="20"/>
        </w:rPr>
        <w:t>s resolution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</w:p>
    <w:sectPr w:rsidR="0030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85722"/>
    <w:rsid w:val="00BA1F12"/>
    <w:rsid w:val="00BA3FB7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E483"/>
  <w15:docId w15:val="{AF94548D-DE88-4E61-B0CD-83F4F2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28</cp:revision>
  <dcterms:created xsi:type="dcterms:W3CDTF">2019-10-16T10:03:00Z</dcterms:created>
  <dcterms:modified xsi:type="dcterms:W3CDTF">2020-03-16T09:32:00Z</dcterms:modified>
</cp:coreProperties>
</file>